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2178"/>
        <w:gridCol w:w="2160"/>
        <w:gridCol w:w="1890"/>
        <w:gridCol w:w="2250"/>
        <w:gridCol w:w="2250"/>
        <w:gridCol w:w="2448"/>
      </w:tblGrid>
      <w:tr w:rsidR="00C37F17" w:rsidRPr="00E35E14" w:rsidTr="007159D7">
        <w:trPr>
          <w:trHeight w:val="251"/>
        </w:trPr>
        <w:tc>
          <w:tcPr>
            <w:tcW w:w="13176" w:type="dxa"/>
            <w:gridSpan w:val="6"/>
            <w:shd w:val="clear" w:color="auto" w:fill="000000" w:themeFill="text1"/>
            <w:vAlign w:val="center"/>
          </w:tcPr>
          <w:p w:rsidR="00C37F17" w:rsidRPr="00E35E14" w:rsidRDefault="00C37F17" w:rsidP="00B222F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E35E14">
              <w:rPr>
                <w:b/>
                <w:color w:val="FFFFFF" w:themeColor="background1"/>
                <w:sz w:val="36"/>
                <w:szCs w:val="36"/>
              </w:rPr>
              <w:t>BIG IDEAS</w:t>
            </w:r>
          </w:p>
        </w:tc>
      </w:tr>
      <w:tr w:rsidR="00C37F17" w:rsidRPr="000414F6" w:rsidTr="007159D7">
        <w:trPr>
          <w:trHeight w:val="1880"/>
        </w:trPr>
        <w:tc>
          <w:tcPr>
            <w:tcW w:w="2178" w:type="dxa"/>
            <w:shd w:val="clear" w:color="auto" w:fill="F2F2F2" w:themeFill="background1" w:themeFillShade="F2"/>
          </w:tcPr>
          <w:p w:rsidR="00C37F17" w:rsidRPr="002026E3" w:rsidRDefault="002026E3" w:rsidP="00B222FF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2026E3">
              <w:rPr>
                <w:b/>
                <w:color w:val="002060"/>
                <w:sz w:val="20"/>
                <w:szCs w:val="20"/>
              </w:rPr>
              <w:t>Vision plays a major role in concept development. We learn many things incidentally through observation that needs to be directly experienced by students with visual impairments</w:t>
            </w:r>
          </w:p>
          <w:p w:rsidR="00C37F17" w:rsidRPr="000414F6" w:rsidRDefault="00C37F17" w:rsidP="00B222F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37F17" w:rsidRPr="00CD761E" w:rsidRDefault="00397FE2" w:rsidP="00B222FF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CD761E">
              <w:rPr>
                <w:b/>
                <w:color w:val="002060"/>
                <w:sz w:val="20"/>
                <w:szCs w:val="20"/>
              </w:rPr>
              <w:t xml:space="preserve">Visual impairment is a general term that can </w:t>
            </w:r>
            <w:r w:rsidR="00BE6E59">
              <w:rPr>
                <w:b/>
                <w:color w:val="002060"/>
                <w:sz w:val="20"/>
                <w:szCs w:val="20"/>
              </w:rPr>
              <w:t>range from</w:t>
            </w:r>
            <w:r w:rsidR="00CD761E" w:rsidRPr="00CD761E">
              <w:rPr>
                <w:b/>
                <w:color w:val="002060"/>
                <w:sz w:val="20"/>
                <w:szCs w:val="20"/>
              </w:rPr>
              <w:t xml:space="preserve"> being blind, </w:t>
            </w:r>
            <w:r w:rsidR="00BE6E59">
              <w:rPr>
                <w:b/>
                <w:color w:val="002060"/>
                <w:sz w:val="20"/>
                <w:szCs w:val="20"/>
              </w:rPr>
              <w:t xml:space="preserve">to </w:t>
            </w:r>
            <w:r w:rsidR="00CD761E" w:rsidRPr="00CD761E">
              <w:rPr>
                <w:b/>
                <w:color w:val="002060"/>
                <w:sz w:val="20"/>
                <w:szCs w:val="20"/>
              </w:rPr>
              <w:t>having an acuity loss, a visual field loss</w:t>
            </w:r>
            <w:r w:rsidR="00BE6E59">
              <w:rPr>
                <w:b/>
                <w:color w:val="002060"/>
                <w:sz w:val="20"/>
                <w:szCs w:val="20"/>
              </w:rPr>
              <w:t>,</w:t>
            </w:r>
            <w:r w:rsidR="00CD761E" w:rsidRPr="00CD761E">
              <w:rPr>
                <w:b/>
                <w:color w:val="002060"/>
                <w:sz w:val="20"/>
                <w:szCs w:val="20"/>
              </w:rPr>
              <w:t xml:space="preserve"> or a combination.</w:t>
            </w:r>
            <w:r w:rsidR="00A965F2" w:rsidRPr="00CD761E">
              <w:rPr>
                <w:b/>
                <w:color w:val="002060"/>
                <w:sz w:val="20"/>
                <w:szCs w:val="20"/>
              </w:rPr>
              <w:t xml:space="preserve"> Environmental adaptations will depend on the student’s vision and how</w:t>
            </w:r>
            <w:r w:rsidR="00CD761E" w:rsidRPr="00CD761E">
              <w:rPr>
                <w:b/>
                <w:color w:val="002060"/>
                <w:sz w:val="20"/>
                <w:szCs w:val="20"/>
              </w:rPr>
              <w:t xml:space="preserve"> well </w:t>
            </w:r>
            <w:r w:rsidR="00A965F2" w:rsidRPr="00CD761E">
              <w:rPr>
                <w:b/>
                <w:color w:val="002060"/>
                <w:sz w:val="20"/>
                <w:szCs w:val="20"/>
              </w:rPr>
              <w:t xml:space="preserve">the student </w:t>
            </w:r>
            <w:r w:rsidR="00CD761E" w:rsidRPr="00CD761E">
              <w:rPr>
                <w:b/>
                <w:color w:val="002060"/>
                <w:sz w:val="20"/>
                <w:szCs w:val="20"/>
              </w:rPr>
              <w:t xml:space="preserve">currently </w:t>
            </w:r>
            <w:r w:rsidR="00A965F2" w:rsidRPr="00CD761E">
              <w:rPr>
                <w:b/>
                <w:color w:val="002060"/>
                <w:sz w:val="20"/>
                <w:szCs w:val="20"/>
              </w:rPr>
              <w:t xml:space="preserve">uses </w:t>
            </w:r>
            <w:r w:rsidR="00CD761E" w:rsidRPr="00CD761E">
              <w:rPr>
                <w:b/>
                <w:color w:val="002060"/>
                <w:sz w:val="20"/>
                <w:szCs w:val="20"/>
              </w:rPr>
              <w:t>any remaining vision.</w:t>
            </w:r>
            <w:r w:rsidR="002026E3" w:rsidRPr="00CD761E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C37F17" w:rsidRPr="00397FE2" w:rsidRDefault="00397FE2" w:rsidP="00B222FF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Collaboration with the itinerant teacher of students with visual impairments</w:t>
            </w:r>
            <w:r w:rsidR="0000527D">
              <w:rPr>
                <w:b/>
                <w:color w:val="002060"/>
                <w:sz w:val="20"/>
                <w:szCs w:val="20"/>
              </w:rPr>
              <w:t xml:space="preserve"> (TSVI)</w:t>
            </w:r>
            <w:r>
              <w:rPr>
                <w:b/>
                <w:color w:val="002060"/>
                <w:sz w:val="20"/>
                <w:szCs w:val="20"/>
              </w:rPr>
              <w:t xml:space="preserve"> is important to support optimal inclusion in the classroom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37F17" w:rsidRPr="00397FE2" w:rsidRDefault="00397FE2" w:rsidP="00B222FF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In addition to the core curriculum, students with visual impairments require instruction in the expanded core curriculum (ECC)</w:t>
            </w:r>
            <w:r w:rsidR="00A965F2">
              <w:rPr>
                <w:b/>
                <w:color w:val="002060"/>
                <w:sz w:val="20"/>
                <w:szCs w:val="20"/>
              </w:rPr>
              <w:t xml:space="preserve">. </w:t>
            </w:r>
            <w:r w:rsidR="0000527D">
              <w:rPr>
                <w:b/>
                <w:color w:val="002060"/>
                <w:sz w:val="20"/>
                <w:szCs w:val="20"/>
              </w:rPr>
              <w:t>TSVIs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r w:rsidR="006C66BA">
              <w:rPr>
                <w:b/>
                <w:color w:val="002060"/>
                <w:sz w:val="20"/>
                <w:szCs w:val="20"/>
              </w:rPr>
              <w:t xml:space="preserve">and Orientation and Mobility (O&amp;M) specialists </w:t>
            </w:r>
            <w:r w:rsidR="00A965F2">
              <w:rPr>
                <w:b/>
                <w:color w:val="002060"/>
                <w:sz w:val="20"/>
                <w:szCs w:val="20"/>
              </w:rPr>
              <w:t xml:space="preserve">teach the ECC, but classroom teachers can help support incorporation and practice of </w:t>
            </w:r>
            <w:r w:rsidR="00BE6E59">
              <w:rPr>
                <w:b/>
                <w:color w:val="002060"/>
                <w:sz w:val="20"/>
                <w:szCs w:val="20"/>
              </w:rPr>
              <w:t xml:space="preserve">the </w:t>
            </w:r>
            <w:r w:rsidR="00A965F2">
              <w:rPr>
                <w:b/>
                <w:color w:val="002060"/>
                <w:sz w:val="20"/>
                <w:szCs w:val="20"/>
              </w:rPr>
              <w:t xml:space="preserve">ECC </w:t>
            </w:r>
            <w:r w:rsidR="00BE6E59">
              <w:rPr>
                <w:b/>
                <w:color w:val="002060"/>
                <w:sz w:val="20"/>
                <w:szCs w:val="20"/>
              </w:rPr>
              <w:t>in the everyday classroom routine.</w:t>
            </w:r>
            <w:r w:rsidR="00A965F2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37F17" w:rsidRPr="0000527D" w:rsidRDefault="00BE6E59" w:rsidP="00B222FF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00527D">
              <w:rPr>
                <w:b/>
                <w:color w:val="002060"/>
                <w:sz w:val="20"/>
                <w:szCs w:val="20"/>
              </w:rPr>
              <w:t>Classroom teachers can</w:t>
            </w:r>
            <w:r w:rsidR="0000527D" w:rsidRPr="0000527D">
              <w:rPr>
                <w:b/>
                <w:color w:val="002060"/>
                <w:sz w:val="20"/>
                <w:szCs w:val="20"/>
              </w:rPr>
              <w:t xml:space="preserve"> support social emotional well-being of students with visual impairments by holding high expectations, encouraging independence, promoting peer interactions that are not just about ‘helping’ the student</w:t>
            </w:r>
            <w:r w:rsidR="0000527D">
              <w:rPr>
                <w:b/>
                <w:color w:val="002060"/>
                <w:sz w:val="20"/>
                <w:szCs w:val="20"/>
              </w:rPr>
              <w:t xml:space="preserve">, and </w:t>
            </w:r>
            <w:r w:rsidR="0000527D" w:rsidRPr="0000527D">
              <w:rPr>
                <w:b/>
                <w:color w:val="002060"/>
                <w:sz w:val="20"/>
                <w:szCs w:val="20"/>
              </w:rPr>
              <w:t xml:space="preserve">creating an environment where using devices and adaptations is </w:t>
            </w:r>
            <w:r w:rsidR="0000527D">
              <w:rPr>
                <w:b/>
                <w:color w:val="002060"/>
                <w:sz w:val="20"/>
                <w:szCs w:val="20"/>
              </w:rPr>
              <w:t>embraced for all.</w:t>
            </w:r>
            <w:r w:rsidR="0000527D" w:rsidRPr="0000527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:rsidR="00C37F17" w:rsidRPr="000D0ED9" w:rsidRDefault="000D0ED9" w:rsidP="00AE3241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Specialized teaching materials are available to be borrowed for core curriculum areas that will enhance learning of students with visual impairments as well as their peers.</w:t>
            </w:r>
          </w:p>
        </w:tc>
      </w:tr>
      <w:tr w:rsidR="00C37F17" w:rsidRPr="00E35E14" w:rsidTr="007159D7">
        <w:trPr>
          <w:trHeight w:val="251"/>
        </w:trPr>
        <w:tc>
          <w:tcPr>
            <w:tcW w:w="13176" w:type="dxa"/>
            <w:gridSpan w:val="6"/>
            <w:shd w:val="clear" w:color="auto" w:fill="000000" w:themeFill="text1"/>
            <w:vAlign w:val="center"/>
          </w:tcPr>
          <w:p w:rsidR="00C37F17" w:rsidRPr="00E35E14" w:rsidRDefault="00C37F17" w:rsidP="00B222F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E35E14">
              <w:rPr>
                <w:b/>
                <w:color w:val="FFFFFF" w:themeColor="background1"/>
                <w:sz w:val="36"/>
                <w:szCs w:val="36"/>
              </w:rPr>
              <w:t xml:space="preserve">BIG </w:t>
            </w:r>
            <w:r>
              <w:rPr>
                <w:b/>
                <w:color w:val="FFFFFF" w:themeColor="background1"/>
                <w:sz w:val="36"/>
                <w:szCs w:val="36"/>
              </w:rPr>
              <w:t>QUESTIONS</w:t>
            </w:r>
          </w:p>
        </w:tc>
      </w:tr>
      <w:tr w:rsidR="00C37F17" w:rsidRPr="00E35E14" w:rsidTr="007159D7">
        <w:trPr>
          <w:trHeight w:val="1448"/>
        </w:trPr>
        <w:tc>
          <w:tcPr>
            <w:tcW w:w="2178" w:type="dxa"/>
            <w:shd w:val="clear" w:color="auto" w:fill="F2F2F2" w:themeFill="background1" w:themeFillShade="F2"/>
          </w:tcPr>
          <w:p w:rsidR="00C37F17" w:rsidRPr="00E35E14" w:rsidRDefault="00B33F2A" w:rsidP="00B222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How can you </w:t>
            </w:r>
            <w:r w:rsidR="000D0ED9">
              <w:rPr>
                <w:b/>
                <w:i/>
                <w:color w:val="FF0000"/>
                <w:sz w:val="20"/>
                <w:szCs w:val="20"/>
              </w:rPr>
              <w:t>create a learning environment that combats learned helplessness and misconceptions about blindness and visual impairment</w:t>
            </w:r>
            <w:r w:rsidR="00C37F17" w:rsidRPr="00E35E14">
              <w:rPr>
                <w:b/>
                <w:i/>
                <w:color w:val="FF0000"/>
                <w:sz w:val="20"/>
                <w:szCs w:val="20"/>
              </w:rPr>
              <w:t>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7F17" w:rsidRPr="00E35E14" w:rsidRDefault="000D0ED9" w:rsidP="00B222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What can you do as the classroom teacher to support collaboration with the TSVI?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C37F17" w:rsidRPr="00E35E14" w:rsidRDefault="000D0ED9" w:rsidP="00B222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What can you do in the inclusive classroom to help students with visual impairments become self-determined learners?</w:t>
            </w:r>
            <w:r w:rsidR="00C37F17" w:rsidRPr="00E35E14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37F17" w:rsidRPr="00E35E14" w:rsidRDefault="000D0ED9" w:rsidP="00B222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How can you best use educational assistants in the classroom to promote student independence?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37F17" w:rsidRPr="00E35E14" w:rsidRDefault="00377899" w:rsidP="00B222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In what ways can you naturally incorporate practice in the ECC within the classroom to support all learners including students with visual impairments?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:rsidR="00C37F17" w:rsidRPr="00E35E14" w:rsidRDefault="00C37F17" w:rsidP="00B222F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37F17" w:rsidRPr="000414F6" w:rsidTr="007159D7">
        <w:trPr>
          <w:trHeight w:val="4238"/>
        </w:trPr>
        <w:tc>
          <w:tcPr>
            <w:tcW w:w="6228" w:type="dxa"/>
            <w:gridSpan w:val="3"/>
          </w:tcPr>
          <w:p w:rsidR="00C37F17" w:rsidRDefault="00C37F17" w:rsidP="00B222FF">
            <w:pPr>
              <w:jc w:val="center"/>
              <w:rPr>
                <w:b/>
              </w:rPr>
            </w:pPr>
          </w:p>
          <w:p w:rsidR="00C37F17" w:rsidRDefault="00C37F17" w:rsidP="00B222FF">
            <w:pPr>
              <w:jc w:val="center"/>
              <w:rPr>
                <w:b/>
              </w:rPr>
            </w:pPr>
            <w:r>
              <w:rPr>
                <w:b/>
              </w:rPr>
              <w:t>CURRICULAR COMPETENCIES</w:t>
            </w:r>
          </w:p>
          <w:p w:rsidR="00A965F2" w:rsidRDefault="00A965F2" w:rsidP="00B222FF">
            <w:pPr>
              <w:jc w:val="center"/>
              <w:rPr>
                <w:b/>
              </w:rPr>
            </w:pPr>
          </w:p>
          <w:p w:rsidR="00A965F2" w:rsidRPr="000414F6" w:rsidRDefault="00A965F2" w:rsidP="00A965F2">
            <w:pPr>
              <w:rPr>
                <w:b/>
              </w:rPr>
            </w:pPr>
            <w:r>
              <w:rPr>
                <w:b/>
              </w:rPr>
              <w:t>General teaching strategies to include learners with visual impairments</w:t>
            </w:r>
          </w:p>
          <w:p w:rsidR="00C37F17" w:rsidRDefault="00377899" w:rsidP="00B33F2A">
            <w:pPr>
              <w:pStyle w:val="ListParagraph"/>
              <w:numPr>
                <w:ilvl w:val="0"/>
                <w:numId w:val="3"/>
              </w:numPr>
            </w:pPr>
            <w:r>
              <w:t>Use descriptive language. Avoid vague terms like “this,” “that,” “over there,” etc.</w:t>
            </w:r>
          </w:p>
          <w:p w:rsidR="00377899" w:rsidRDefault="00377899" w:rsidP="00B33F2A">
            <w:pPr>
              <w:pStyle w:val="ListParagraph"/>
              <w:numPr>
                <w:ilvl w:val="0"/>
                <w:numId w:val="3"/>
              </w:numPr>
            </w:pPr>
            <w:r>
              <w:t>Provide hands-on experiences</w:t>
            </w:r>
          </w:p>
          <w:p w:rsidR="00377899" w:rsidRDefault="00377899" w:rsidP="00B33F2A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visual breaks through multi-sensory approaches </w:t>
            </w:r>
          </w:p>
          <w:p w:rsidR="00A965F2" w:rsidRPr="00377899" w:rsidRDefault="00377899" w:rsidP="00B222FF">
            <w:pPr>
              <w:pStyle w:val="ListParagraph"/>
              <w:numPr>
                <w:ilvl w:val="0"/>
                <w:numId w:val="3"/>
              </w:numPr>
              <w:rPr>
                <w:b/>
                <w:i/>
              </w:rPr>
            </w:pPr>
            <w:r w:rsidRPr="00377899">
              <w:rPr>
                <w:b/>
                <w:i/>
              </w:rPr>
              <w:t xml:space="preserve">Add </w:t>
            </w:r>
            <w:r>
              <w:rPr>
                <w:b/>
                <w:i/>
              </w:rPr>
              <w:t xml:space="preserve">at least </w:t>
            </w:r>
            <w:r w:rsidRPr="00377899">
              <w:rPr>
                <w:b/>
                <w:i/>
              </w:rPr>
              <w:t>three more and their sources:</w:t>
            </w:r>
          </w:p>
          <w:p w:rsidR="006C66BA" w:rsidRDefault="006C66BA" w:rsidP="00B222FF">
            <w:pPr>
              <w:rPr>
                <w:b/>
              </w:rPr>
            </w:pPr>
            <w:r>
              <w:rPr>
                <w:b/>
              </w:rPr>
              <w:t>Environmental Considerations for learners with visual impairments:</w:t>
            </w:r>
          </w:p>
          <w:p w:rsidR="006C66BA" w:rsidRPr="00F43653" w:rsidRDefault="00F43653" w:rsidP="006C66B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Use functional vision assessment information to adapt classroom (lighting, glare, etc.)</w:t>
            </w:r>
          </w:p>
          <w:p w:rsidR="00F43653" w:rsidRPr="008A5AC6" w:rsidRDefault="008A5AC6" w:rsidP="006C66B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Keep classroom layout predictable or introduce students to changes made</w:t>
            </w:r>
          </w:p>
          <w:p w:rsidR="006C66BA" w:rsidRPr="00102B60" w:rsidRDefault="008A5AC6" w:rsidP="00B222FF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8A5AC6">
              <w:rPr>
                <w:b/>
                <w:i/>
              </w:rPr>
              <w:t>Add at least three more and their sources:</w:t>
            </w:r>
          </w:p>
          <w:p w:rsidR="00B33F2A" w:rsidRDefault="00B33F2A" w:rsidP="00B222FF">
            <w:pPr>
              <w:rPr>
                <w:b/>
              </w:rPr>
            </w:pPr>
            <w:r>
              <w:rPr>
                <w:b/>
              </w:rPr>
              <w:t>Ways to promote concept development</w:t>
            </w:r>
            <w:r w:rsidR="00102B60">
              <w:rPr>
                <w:b/>
              </w:rPr>
              <w:t xml:space="preserve"> and self-determination for learners with visual impairments</w:t>
            </w:r>
          </w:p>
          <w:p w:rsidR="00377899" w:rsidRPr="00377899" w:rsidRDefault="00377899" w:rsidP="0037789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Preview concepts with students to assess for holes in conceptual understanding</w:t>
            </w:r>
          </w:p>
          <w:p w:rsidR="00377899" w:rsidRPr="00102B60" w:rsidRDefault="007159D7" w:rsidP="0037789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Provide concrete experiences to develop concepts</w:t>
            </w:r>
          </w:p>
          <w:p w:rsidR="00102B60" w:rsidRPr="007159D7" w:rsidRDefault="00102B60" w:rsidP="0037789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Incorporate ways for students to learn to self-evaluate</w:t>
            </w:r>
          </w:p>
          <w:p w:rsidR="007159D7" w:rsidRPr="007159D7" w:rsidRDefault="007159D7" w:rsidP="00377899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7159D7">
              <w:rPr>
                <w:b/>
                <w:i/>
              </w:rPr>
              <w:t>Add at least 3 more and their sources:</w:t>
            </w:r>
          </w:p>
          <w:p w:rsidR="007159D7" w:rsidRDefault="007159D7" w:rsidP="00B222FF">
            <w:pPr>
              <w:rPr>
                <w:b/>
              </w:rPr>
            </w:pPr>
          </w:p>
          <w:p w:rsidR="00B33F2A" w:rsidRDefault="006C66BA" w:rsidP="00B222FF">
            <w:pPr>
              <w:rPr>
                <w:b/>
              </w:rPr>
            </w:pPr>
            <w:r>
              <w:rPr>
                <w:b/>
              </w:rPr>
              <w:t>Ways to promote good collaboration with the TSVI and O&amp;M specialist:</w:t>
            </w:r>
          </w:p>
          <w:p w:rsidR="008A5AC6" w:rsidRPr="008A5AC6" w:rsidRDefault="008A5AC6" w:rsidP="008A5AC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Provide materials to be adapted with ample time</w:t>
            </w:r>
          </w:p>
          <w:p w:rsidR="008A5AC6" w:rsidRPr="00102B60" w:rsidRDefault="00102B60" w:rsidP="008A5AC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lastRenderedPageBreak/>
              <w:t>Discuss co-teaching possibilities throughout the year</w:t>
            </w:r>
          </w:p>
          <w:p w:rsidR="00102B60" w:rsidRPr="00102B60" w:rsidRDefault="00102B60" w:rsidP="008A5AC6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102B60">
              <w:rPr>
                <w:b/>
                <w:i/>
              </w:rPr>
              <w:t>Add at least 3 more and their sources:</w:t>
            </w:r>
          </w:p>
          <w:p w:rsidR="006C66BA" w:rsidRDefault="006C66BA" w:rsidP="00B222FF"/>
          <w:p w:rsidR="00A965F2" w:rsidRDefault="00A965F2" w:rsidP="00B222FF">
            <w:pPr>
              <w:rPr>
                <w:b/>
              </w:rPr>
            </w:pPr>
            <w:r>
              <w:rPr>
                <w:b/>
              </w:rPr>
              <w:t>Resources to learn more about including learners with visual impairments</w:t>
            </w:r>
          </w:p>
          <w:p w:rsidR="00377899" w:rsidRPr="00377899" w:rsidRDefault="00377899" w:rsidP="0037789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Connect with your district’s teacher of students with visual impairments</w:t>
            </w:r>
          </w:p>
          <w:p w:rsidR="00A965F2" w:rsidRPr="00377899" w:rsidRDefault="00377899" w:rsidP="00B222F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Explore materials available through the Provincial Resource Centre for the Visually Impaired (PRCVI)</w:t>
            </w:r>
          </w:p>
          <w:p w:rsidR="00377899" w:rsidRPr="00377899" w:rsidRDefault="00377899" w:rsidP="00B222F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Explore resources available for educators at: </w:t>
            </w:r>
            <w:hyperlink r:id="rId5" w:history="1">
              <w:r w:rsidRPr="00095D94">
                <w:rPr>
                  <w:rStyle w:val="Hyperlink"/>
                </w:rPr>
                <w:t>http://www.perkinselearning.org/</w:t>
              </w:r>
            </w:hyperlink>
            <w:r>
              <w:t xml:space="preserve"> </w:t>
            </w:r>
          </w:p>
          <w:p w:rsidR="00377899" w:rsidRPr="00377899" w:rsidRDefault="00377899" w:rsidP="00B222FF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 w:rsidRPr="00377899">
              <w:rPr>
                <w:b/>
                <w:i/>
              </w:rPr>
              <w:t>Add at least three more reputable resources:</w:t>
            </w:r>
          </w:p>
          <w:p w:rsidR="00A965F2" w:rsidRDefault="00A965F2" w:rsidP="00B222FF">
            <w:pPr>
              <w:rPr>
                <w:b/>
              </w:rPr>
            </w:pPr>
          </w:p>
          <w:p w:rsidR="00C37F17" w:rsidRPr="007159D7" w:rsidRDefault="00C37F17" w:rsidP="007159D7"/>
        </w:tc>
        <w:tc>
          <w:tcPr>
            <w:tcW w:w="6948" w:type="dxa"/>
            <w:gridSpan w:val="3"/>
          </w:tcPr>
          <w:p w:rsidR="00C37F17" w:rsidRDefault="00C37F17" w:rsidP="00B222FF">
            <w:pPr>
              <w:jc w:val="center"/>
              <w:rPr>
                <w:b/>
              </w:rPr>
            </w:pPr>
          </w:p>
          <w:p w:rsidR="00C37F17" w:rsidRPr="000414F6" w:rsidRDefault="00C37F17" w:rsidP="00B222FF">
            <w:pPr>
              <w:jc w:val="center"/>
              <w:rPr>
                <w:b/>
              </w:rPr>
            </w:pPr>
            <w:r>
              <w:rPr>
                <w:b/>
              </w:rPr>
              <w:t>CONTENT AREAS</w:t>
            </w:r>
          </w:p>
          <w:p w:rsidR="00C37F17" w:rsidRPr="000414F6" w:rsidRDefault="00C37F17" w:rsidP="00B222FF"/>
          <w:p w:rsidR="006C66BA" w:rsidRPr="006C66BA" w:rsidRDefault="006C66BA" w:rsidP="006C66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Areas of the Expanded Core Curriculum </w:t>
            </w:r>
            <w:r w:rsidRPr="00377899">
              <w:rPr>
                <w:rFonts w:ascii="Times New Roman" w:hAnsi="Times New Roman"/>
                <w:b/>
              </w:rPr>
              <w:t>(list the 9 areas):</w:t>
            </w:r>
          </w:p>
          <w:p w:rsidR="00C37F17" w:rsidRPr="006C66BA" w:rsidRDefault="00377899" w:rsidP="00C37F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 of the teacher of students with visual impairments</w:t>
            </w:r>
            <w:r w:rsidR="006C66BA">
              <w:rPr>
                <w:rFonts w:ascii="Times New Roman" w:hAnsi="Times New Roman"/>
              </w:rPr>
              <w:t xml:space="preserve"> (</w:t>
            </w:r>
            <w:r w:rsidR="006C66BA">
              <w:rPr>
                <w:rFonts w:ascii="Times New Roman" w:hAnsi="Times New Roman"/>
                <w:b/>
              </w:rPr>
              <w:t>list at least 3 additional):</w:t>
            </w:r>
          </w:p>
          <w:p w:rsidR="006C66BA" w:rsidRDefault="006C66BA" w:rsidP="006C66B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Conducting functional vision assessments and learning media assessments and helping the team understand the instructional implications</w:t>
            </w:r>
          </w:p>
          <w:p w:rsidR="006C66BA" w:rsidRPr="00102B60" w:rsidRDefault="006C66BA" w:rsidP="00102B6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Collaborate with and support the classroom teacher</w:t>
            </w:r>
          </w:p>
          <w:p w:rsidR="00377899" w:rsidRDefault="00377899" w:rsidP="00C37F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Role of the orientation and mobility specialist</w:t>
            </w:r>
            <w:r w:rsidR="007159D7">
              <w:rPr>
                <w:rFonts w:ascii="Times New Roman" w:hAnsi="Times New Roman"/>
              </w:rPr>
              <w:t xml:space="preserve"> </w:t>
            </w:r>
            <w:r w:rsidR="007159D7" w:rsidRPr="007159D7">
              <w:rPr>
                <w:rFonts w:ascii="Times New Roman" w:hAnsi="Times New Roman"/>
                <w:b/>
              </w:rPr>
              <w:t xml:space="preserve">(list at least </w:t>
            </w:r>
            <w:r w:rsidR="007159D7">
              <w:rPr>
                <w:rFonts w:ascii="Times New Roman" w:hAnsi="Times New Roman"/>
                <w:b/>
              </w:rPr>
              <w:t>3</w:t>
            </w:r>
            <w:r w:rsidR="007159D7" w:rsidRPr="007159D7">
              <w:rPr>
                <w:rFonts w:ascii="Times New Roman" w:hAnsi="Times New Roman"/>
                <w:b/>
              </w:rPr>
              <w:t xml:space="preserve"> additional):</w:t>
            </w:r>
          </w:p>
          <w:p w:rsidR="007159D7" w:rsidRPr="007159D7" w:rsidRDefault="007159D7" w:rsidP="007159D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Conduct O&amp;M assessments and recommend levels of service</w:t>
            </w:r>
          </w:p>
          <w:p w:rsidR="007159D7" w:rsidRPr="00102B60" w:rsidRDefault="007159D7" w:rsidP="007159D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Teach long cane skills</w:t>
            </w:r>
          </w:p>
          <w:p w:rsidR="007159D7" w:rsidRPr="00102B60" w:rsidRDefault="00102B60" w:rsidP="0010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Impact of visual impairment on learning and instructional needs</w:t>
            </w:r>
          </w:p>
          <w:p w:rsidR="00377899" w:rsidRDefault="006C66BA" w:rsidP="003778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Promoting Self-Determination, SEL</w:t>
            </w:r>
          </w:p>
          <w:p w:rsidR="006C66BA" w:rsidRDefault="006C66BA" w:rsidP="003778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Connections between climate, environment, and student behavior and engagement</w:t>
            </w:r>
          </w:p>
          <w:p w:rsidR="00C37F17" w:rsidRPr="000414F6" w:rsidRDefault="00C37F17" w:rsidP="00B222FF"/>
          <w:p w:rsidR="00C37F17" w:rsidRPr="000414F6" w:rsidRDefault="00C37F17" w:rsidP="00B222FF"/>
          <w:p w:rsidR="00C37F17" w:rsidRPr="000414F6" w:rsidRDefault="00C37F17" w:rsidP="00B222FF"/>
          <w:p w:rsidR="00C37F17" w:rsidRPr="000414F6" w:rsidRDefault="00C37F17" w:rsidP="00B222FF"/>
        </w:tc>
      </w:tr>
    </w:tbl>
    <w:p w:rsidR="00CE71FC" w:rsidRDefault="006F7428"/>
    <w:sectPr w:rsidR="00CE71FC" w:rsidSect="00C37F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180D"/>
    <w:multiLevelType w:val="hybridMultilevel"/>
    <w:tmpl w:val="D194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4955"/>
    <w:multiLevelType w:val="hybridMultilevel"/>
    <w:tmpl w:val="CED8D060"/>
    <w:lvl w:ilvl="0" w:tplc="A3D81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3E21AE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1436"/>
    <w:multiLevelType w:val="hybridMultilevel"/>
    <w:tmpl w:val="1E0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7818"/>
    <w:multiLevelType w:val="hybridMultilevel"/>
    <w:tmpl w:val="FE9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38AA"/>
    <w:multiLevelType w:val="hybridMultilevel"/>
    <w:tmpl w:val="3238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FD0"/>
    <w:multiLevelType w:val="hybridMultilevel"/>
    <w:tmpl w:val="B9AE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40DE"/>
    <w:multiLevelType w:val="hybridMultilevel"/>
    <w:tmpl w:val="A7B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17"/>
    <w:rsid w:val="0000527D"/>
    <w:rsid w:val="000D0ED9"/>
    <w:rsid w:val="000F7645"/>
    <w:rsid w:val="00102B60"/>
    <w:rsid w:val="00184A7E"/>
    <w:rsid w:val="001F4436"/>
    <w:rsid w:val="002026E3"/>
    <w:rsid w:val="002967EF"/>
    <w:rsid w:val="002B644B"/>
    <w:rsid w:val="002E09D4"/>
    <w:rsid w:val="00356CA7"/>
    <w:rsid w:val="00377899"/>
    <w:rsid w:val="00394A1E"/>
    <w:rsid w:val="00397FE2"/>
    <w:rsid w:val="00404977"/>
    <w:rsid w:val="00404C79"/>
    <w:rsid w:val="00431C84"/>
    <w:rsid w:val="00433CEB"/>
    <w:rsid w:val="00524425"/>
    <w:rsid w:val="0054389D"/>
    <w:rsid w:val="005B592D"/>
    <w:rsid w:val="005B6386"/>
    <w:rsid w:val="00625F3A"/>
    <w:rsid w:val="006C66BA"/>
    <w:rsid w:val="006F7428"/>
    <w:rsid w:val="007159D7"/>
    <w:rsid w:val="007E734B"/>
    <w:rsid w:val="007F465D"/>
    <w:rsid w:val="008A5AC6"/>
    <w:rsid w:val="008E1B91"/>
    <w:rsid w:val="008F6391"/>
    <w:rsid w:val="00952D3C"/>
    <w:rsid w:val="009B6C47"/>
    <w:rsid w:val="00A319BA"/>
    <w:rsid w:val="00A55AF2"/>
    <w:rsid w:val="00A965F2"/>
    <w:rsid w:val="00AE3241"/>
    <w:rsid w:val="00B01B5C"/>
    <w:rsid w:val="00B33F2A"/>
    <w:rsid w:val="00BA3BE1"/>
    <w:rsid w:val="00BD4EC8"/>
    <w:rsid w:val="00BE6E59"/>
    <w:rsid w:val="00BE76DC"/>
    <w:rsid w:val="00C339CA"/>
    <w:rsid w:val="00C37F17"/>
    <w:rsid w:val="00C50F18"/>
    <w:rsid w:val="00CB5EED"/>
    <w:rsid w:val="00CD761E"/>
    <w:rsid w:val="00CE7E06"/>
    <w:rsid w:val="00D21EC7"/>
    <w:rsid w:val="00D855BC"/>
    <w:rsid w:val="00E802E5"/>
    <w:rsid w:val="00EB5AEC"/>
    <w:rsid w:val="00F10597"/>
    <w:rsid w:val="00F43653"/>
    <w:rsid w:val="00F5329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7B6753-508F-0E47-845A-1F945F71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7F17"/>
    <w:rPr>
      <w:rFonts w:ascii="Times New Roman" w:eastAsiaTheme="minorEastAsia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17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F17"/>
    <w:pPr>
      <w:spacing w:after="200"/>
      <w:ind w:left="720"/>
      <w:contextualSpacing/>
    </w:pPr>
    <w:rPr>
      <w:rFonts w:ascii="Cambria" w:eastAsia="Cambria" w:hAnsi="Cambria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377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kinselearn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Zebehazy</dc:creator>
  <cp:keywords/>
  <dc:description/>
  <cp:lastModifiedBy>Microsoft Office User</cp:lastModifiedBy>
  <cp:revision>2</cp:revision>
  <dcterms:created xsi:type="dcterms:W3CDTF">2019-06-13T21:16:00Z</dcterms:created>
  <dcterms:modified xsi:type="dcterms:W3CDTF">2019-06-13T21:16:00Z</dcterms:modified>
</cp:coreProperties>
</file>